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BBB" w:rsidRDefault="00D01505" w:rsidP="00D0150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PASCAL </w:t>
      </w:r>
      <w:r w:rsidR="00EF4484">
        <w:rPr>
          <w:b/>
          <w:sz w:val="24"/>
          <w:szCs w:val="24"/>
        </w:rPr>
        <w:t xml:space="preserve">Learning Cities Networks (LCN) </w:t>
      </w:r>
      <w:r>
        <w:rPr>
          <w:b/>
          <w:sz w:val="24"/>
          <w:szCs w:val="24"/>
        </w:rPr>
        <w:t>Inclusion Workshops</w:t>
      </w:r>
    </w:p>
    <w:p w:rsidR="00D01505" w:rsidRDefault="00D01505" w:rsidP="00D01505">
      <w:pPr>
        <w:jc w:val="left"/>
        <w:rPr>
          <w:b/>
          <w:sz w:val="24"/>
          <w:szCs w:val="24"/>
        </w:rPr>
      </w:pPr>
    </w:p>
    <w:p w:rsidR="00D01505" w:rsidRDefault="00D01505" w:rsidP="00D01505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</w:t>
      </w:r>
      <w:r>
        <w:rPr>
          <w:sz w:val="24"/>
          <w:szCs w:val="24"/>
        </w:rPr>
        <w:t>Peter Kearns</w:t>
      </w:r>
    </w:p>
    <w:p w:rsidR="006C09ED" w:rsidRDefault="00404C27" w:rsidP="00D01505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17 August</w:t>
      </w:r>
      <w:r w:rsidR="006C09ED">
        <w:rPr>
          <w:sz w:val="24"/>
          <w:szCs w:val="24"/>
        </w:rPr>
        <w:t xml:space="preserve"> 2015 </w:t>
      </w:r>
    </w:p>
    <w:p w:rsidR="00D01505" w:rsidRDefault="00D01505" w:rsidP="00D01505">
      <w:pPr>
        <w:jc w:val="left"/>
        <w:rPr>
          <w:sz w:val="24"/>
          <w:szCs w:val="24"/>
        </w:rPr>
      </w:pPr>
    </w:p>
    <w:p w:rsidR="00D01505" w:rsidRDefault="00D01505" w:rsidP="00D01505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Arrangements have now been made for four PASCAL </w:t>
      </w:r>
      <w:r w:rsidR="00EF4484" w:rsidRPr="00EF4484">
        <w:rPr>
          <w:sz w:val="24"/>
          <w:szCs w:val="24"/>
        </w:rPr>
        <w:t xml:space="preserve">Learning Cities Networks (LCN) </w:t>
      </w:r>
      <w:r>
        <w:rPr>
          <w:sz w:val="24"/>
          <w:szCs w:val="24"/>
        </w:rPr>
        <w:t xml:space="preserve">Inclusion Workshops under the PASCAL </w:t>
      </w:r>
      <w:r w:rsidR="00EF4484" w:rsidRPr="00EF4484">
        <w:rPr>
          <w:sz w:val="24"/>
          <w:szCs w:val="24"/>
        </w:rPr>
        <w:t xml:space="preserve">Learning Cities Networks (LCN) </w:t>
      </w:r>
      <w:r>
        <w:rPr>
          <w:sz w:val="24"/>
          <w:szCs w:val="24"/>
        </w:rPr>
        <w:t xml:space="preserve">Inclusion Rolling Workshops program. Workshops to be held </w:t>
      </w:r>
      <w:r w:rsidR="00B12DEB">
        <w:rPr>
          <w:sz w:val="24"/>
          <w:szCs w:val="24"/>
        </w:rPr>
        <w:t>in Glasgow, Bristol</w:t>
      </w:r>
      <w:r w:rsidR="00345888">
        <w:rPr>
          <w:sz w:val="24"/>
          <w:szCs w:val="24"/>
        </w:rPr>
        <w:t xml:space="preserve"> and Melbour</w:t>
      </w:r>
      <w:r>
        <w:rPr>
          <w:sz w:val="24"/>
          <w:szCs w:val="24"/>
        </w:rPr>
        <w:t>ne join the initial workshop held in Townsville</w:t>
      </w:r>
      <w:r w:rsidR="00345888">
        <w:rPr>
          <w:sz w:val="24"/>
          <w:szCs w:val="24"/>
        </w:rPr>
        <w:t xml:space="preserve"> on 4 May this year. R</w:t>
      </w:r>
      <w:r>
        <w:rPr>
          <w:sz w:val="24"/>
          <w:szCs w:val="24"/>
        </w:rPr>
        <w:t xml:space="preserve">eports from each of these workshops will be able to be accessed from the PASCAL </w:t>
      </w:r>
      <w:hyperlink r:id="rId6" w:history="1">
        <w:r w:rsidR="00EF4484" w:rsidRPr="00EF4484">
          <w:rPr>
            <w:rStyle w:val="Hyperlink"/>
            <w:sz w:val="24"/>
            <w:szCs w:val="24"/>
          </w:rPr>
          <w:t>Learning Cities Networks (LCN)</w:t>
        </w:r>
        <w:r w:rsidRPr="00EF4484">
          <w:rPr>
            <w:rStyle w:val="Hyperlink"/>
            <w:sz w:val="24"/>
            <w:szCs w:val="24"/>
          </w:rPr>
          <w:t xml:space="preserve"> website</w:t>
        </w:r>
      </w:hyperlink>
      <w:r>
        <w:rPr>
          <w:sz w:val="24"/>
          <w:szCs w:val="24"/>
        </w:rPr>
        <w:t>.</w:t>
      </w:r>
    </w:p>
    <w:p w:rsidR="00345888" w:rsidRDefault="00345888" w:rsidP="00D01505">
      <w:pPr>
        <w:jc w:val="left"/>
        <w:rPr>
          <w:sz w:val="24"/>
          <w:szCs w:val="24"/>
        </w:rPr>
      </w:pPr>
    </w:p>
    <w:p w:rsidR="00345888" w:rsidRDefault="00345888" w:rsidP="00D01505">
      <w:pPr>
        <w:jc w:val="left"/>
        <w:rPr>
          <w:sz w:val="24"/>
          <w:szCs w:val="24"/>
        </w:rPr>
      </w:pPr>
      <w:r>
        <w:rPr>
          <w:sz w:val="24"/>
          <w:szCs w:val="24"/>
        </w:rPr>
        <w:t>The following are the workshops in this program</w:t>
      </w:r>
    </w:p>
    <w:p w:rsidR="00345888" w:rsidRDefault="00345888" w:rsidP="00D01505">
      <w:pPr>
        <w:jc w:val="left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701"/>
        <w:gridCol w:w="5732"/>
      </w:tblGrid>
      <w:tr w:rsidR="00B04316" w:rsidTr="00EF4484">
        <w:tc>
          <w:tcPr>
            <w:tcW w:w="1809" w:type="dxa"/>
          </w:tcPr>
          <w:p w:rsidR="00B04316" w:rsidRPr="00EF4484" w:rsidRDefault="00EF4484" w:rsidP="00EF4484">
            <w:pPr>
              <w:spacing w:before="120" w:line="360" w:lineRule="auto"/>
              <w:jc w:val="left"/>
              <w:rPr>
                <w:b/>
                <w:sz w:val="24"/>
                <w:szCs w:val="24"/>
              </w:rPr>
            </w:pPr>
            <w:r w:rsidRPr="00EF4484">
              <w:rPr>
                <w:b/>
                <w:sz w:val="24"/>
                <w:szCs w:val="24"/>
              </w:rPr>
              <w:t>Date</w:t>
            </w:r>
            <w:r w:rsidR="00B90D2C">
              <w:rPr>
                <w:b/>
                <w:sz w:val="24"/>
                <w:szCs w:val="24"/>
              </w:rPr>
              <w:t xml:space="preserve"> (2015)</w:t>
            </w:r>
            <w:bookmarkStart w:id="0" w:name="_GoBack"/>
            <w:bookmarkEnd w:id="0"/>
          </w:p>
        </w:tc>
        <w:tc>
          <w:tcPr>
            <w:tcW w:w="1701" w:type="dxa"/>
          </w:tcPr>
          <w:p w:rsidR="00B04316" w:rsidRPr="00EF4484" w:rsidRDefault="00EF4484" w:rsidP="00EF4484">
            <w:pPr>
              <w:spacing w:before="120" w:line="360" w:lineRule="auto"/>
              <w:jc w:val="left"/>
              <w:rPr>
                <w:b/>
                <w:sz w:val="24"/>
                <w:szCs w:val="24"/>
              </w:rPr>
            </w:pPr>
            <w:r w:rsidRPr="00EF4484">
              <w:rPr>
                <w:b/>
                <w:sz w:val="24"/>
                <w:szCs w:val="24"/>
              </w:rPr>
              <w:t>Location</w:t>
            </w:r>
          </w:p>
        </w:tc>
        <w:tc>
          <w:tcPr>
            <w:tcW w:w="5732" w:type="dxa"/>
          </w:tcPr>
          <w:p w:rsidR="00B04316" w:rsidRPr="00EF4484" w:rsidRDefault="00EF4484" w:rsidP="00EF4484">
            <w:pPr>
              <w:spacing w:before="120" w:line="360" w:lineRule="auto"/>
              <w:jc w:val="left"/>
              <w:rPr>
                <w:b/>
                <w:sz w:val="24"/>
                <w:szCs w:val="24"/>
              </w:rPr>
            </w:pPr>
            <w:r w:rsidRPr="00EF4484">
              <w:rPr>
                <w:b/>
                <w:sz w:val="24"/>
                <w:szCs w:val="24"/>
              </w:rPr>
              <w:t>Workshop Title</w:t>
            </w:r>
          </w:p>
        </w:tc>
      </w:tr>
      <w:tr w:rsidR="00B04316" w:rsidTr="00EF4484">
        <w:tc>
          <w:tcPr>
            <w:tcW w:w="1809" w:type="dxa"/>
          </w:tcPr>
          <w:p w:rsidR="00B04316" w:rsidRDefault="00B04316" w:rsidP="00EF4484">
            <w:pPr>
              <w:spacing w:before="120"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May             </w:t>
            </w:r>
          </w:p>
        </w:tc>
        <w:tc>
          <w:tcPr>
            <w:tcW w:w="1701" w:type="dxa"/>
          </w:tcPr>
          <w:p w:rsidR="00B04316" w:rsidRDefault="00B04316" w:rsidP="00EF4484">
            <w:pPr>
              <w:spacing w:before="120" w:line="360" w:lineRule="auto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Townsville</w:t>
            </w:r>
          </w:p>
        </w:tc>
        <w:tc>
          <w:tcPr>
            <w:tcW w:w="5732" w:type="dxa"/>
          </w:tcPr>
          <w:p w:rsidR="00B04316" w:rsidRDefault="00B04316" w:rsidP="00EF4484">
            <w:pPr>
              <w:spacing w:before="120"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Inclusion in Learning City development: local and global </w:t>
            </w:r>
            <w:r w:rsidR="00EF4484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nfluences.</w:t>
            </w:r>
          </w:p>
        </w:tc>
      </w:tr>
      <w:tr w:rsidR="00B04316" w:rsidTr="00EF4484">
        <w:tc>
          <w:tcPr>
            <w:tcW w:w="1809" w:type="dxa"/>
          </w:tcPr>
          <w:p w:rsidR="00B04316" w:rsidRDefault="00B04316" w:rsidP="00EF4484">
            <w:pPr>
              <w:spacing w:before="120"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September  </w:t>
            </w:r>
          </w:p>
        </w:tc>
        <w:tc>
          <w:tcPr>
            <w:tcW w:w="1701" w:type="dxa"/>
          </w:tcPr>
          <w:p w:rsidR="00B04316" w:rsidRDefault="00B04316" w:rsidP="00EF4484">
            <w:pPr>
              <w:spacing w:before="120" w:line="360" w:lineRule="auto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Glasgow</w:t>
            </w:r>
          </w:p>
        </w:tc>
        <w:tc>
          <w:tcPr>
            <w:tcW w:w="5732" w:type="dxa"/>
          </w:tcPr>
          <w:p w:rsidR="00B04316" w:rsidRDefault="00EF4484" w:rsidP="00EF4484">
            <w:pPr>
              <w:spacing w:before="120" w:line="360" w:lineRule="auto"/>
              <w:jc w:val="left"/>
              <w:rPr>
                <w:sz w:val="24"/>
                <w:szCs w:val="24"/>
              </w:rPr>
            </w:pPr>
            <w:r w:rsidRPr="00EF4484">
              <w:rPr>
                <w:sz w:val="24"/>
                <w:szCs w:val="24"/>
              </w:rPr>
              <w:t>The role of the smart campus in inclusion</w:t>
            </w:r>
          </w:p>
        </w:tc>
      </w:tr>
      <w:tr w:rsidR="00B04316" w:rsidTr="00EF4484">
        <w:tc>
          <w:tcPr>
            <w:tcW w:w="1809" w:type="dxa"/>
          </w:tcPr>
          <w:p w:rsidR="00B04316" w:rsidRDefault="00B04316" w:rsidP="00EF4484">
            <w:pPr>
              <w:spacing w:before="120"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October        </w:t>
            </w:r>
          </w:p>
        </w:tc>
        <w:tc>
          <w:tcPr>
            <w:tcW w:w="1701" w:type="dxa"/>
          </w:tcPr>
          <w:p w:rsidR="00B04316" w:rsidRDefault="00B04316" w:rsidP="00EF4484">
            <w:pPr>
              <w:spacing w:before="120" w:line="360" w:lineRule="auto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Bristol</w:t>
            </w:r>
          </w:p>
        </w:tc>
        <w:tc>
          <w:tcPr>
            <w:tcW w:w="5732" w:type="dxa"/>
          </w:tcPr>
          <w:p w:rsidR="00B04316" w:rsidRDefault="00EF4484" w:rsidP="00EF4484">
            <w:pPr>
              <w:spacing w:before="120"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Learning for everyone: increasing the wellbeing of all citizens and communities in a city of contrasts.</w:t>
            </w:r>
          </w:p>
          <w:p w:rsidR="00EF4484" w:rsidRPr="00EF4484" w:rsidRDefault="00EF4484" w:rsidP="00EF4484">
            <w:pPr>
              <w:pStyle w:val="ListParagraph"/>
              <w:numPr>
                <w:ilvl w:val="0"/>
                <w:numId w:val="6"/>
              </w:numPr>
              <w:spacing w:before="120" w:line="360" w:lineRule="auto"/>
              <w:jc w:val="left"/>
              <w:rPr>
                <w:sz w:val="24"/>
                <w:szCs w:val="24"/>
              </w:rPr>
            </w:pPr>
            <w:r w:rsidRPr="00EF4484">
              <w:rPr>
                <w:sz w:val="24"/>
                <w:szCs w:val="24"/>
              </w:rPr>
              <w:t>Supporting young people leaving formal local authority</w:t>
            </w:r>
            <w:r w:rsidRPr="00EF4484">
              <w:rPr>
                <w:sz w:val="24"/>
                <w:szCs w:val="24"/>
              </w:rPr>
              <w:t xml:space="preserve"> </w:t>
            </w:r>
            <w:r w:rsidRPr="00EF4484">
              <w:rPr>
                <w:sz w:val="24"/>
                <w:szCs w:val="24"/>
              </w:rPr>
              <w:t>care into education and employment.</w:t>
            </w:r>
          </w:p>
          <w:p w:rsidR="00EF4484" w:rsidRDefault="00EF4484" w:rsidP="00EF4484">
            <w:pPr>
              <w:pStyle w:val="ListParagraph"/>
              <w:numPr>
                <w:ilvl w:val="0"/>
                <w:numId w:val="6"/>
              </w:numPr>
              <w:spacing w:before="120" w:line="360" w:lineRule="auto"/>
              <w:jc w:val="left"/>
            </w:pPr>
            <w:r w:rsidRPr="00EF4484">
              <w:rPr>
                <w:sz w:val="24"/>
                <w:szCs w:val="24"/>
              </w:rPr>
              <w:t>Improving adult mental health through community</w:t>
            </w:r>
          </w:p>
        </w:tc>
      </w:tr>
      <w:tr w:rsidR="00B04316" w:rsidTr="00EF4484">
        <w:tc>
          <w:tcPr>
            <w:tcW w:w="1809" w:type="dxa"/>
          </w:tcPr>
          <w:p w:rsidR="00B04316" w:rsidRDefault="00B04316" w:rsidP="00EF4484">
            <w:pPr>
              <w:spacing w:before="120"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</w:t>
            </w:r>
            <w:r w:rsidRPr="00B04316">
              <w:rPr>
                <w:sz w:val="24"/>
                <w:szCs w:val="24"/>
              </w:rPr>
              <w:t>November</w:t>
            </w:r>
          </w:p>
        </w:tc>
        <w:tc>
          <w:tcPr>
            <w:tcW w:w="1701" w:type="dxa"/>
          </w:tcPr>
          <w:p w:rsidR="00B04316" w:rsidRDefault="00B04316" w:rsidP="00EF4484">
            <w:pPr>
              <w:spacing w:before="120" w:line="360" w:lineRule="auto"/>
              <w:jc w:val="left"/>
              <w:rPr>
                <w:sz w:val="24"/>
                <w:szCs w:val="24"/>
              </w:rPr>
            </w:pPr>
            <w:r w:rsidRPr="00B04316">
              <w:rPr>
                <w:b/>
                <w:sz w:val="24"/>
                <w:szCs w:val="24"/>
              </w:rPr>
              <w:t>Melbourne</w:t>
            </w:r>
          </w:p>
        </w:tc>
        <w:tc>
          <w:tcPr>
            <w:tcW w:w="5732" w:type="dxa"/>
          </w:tcPr>
          <w:p w:rsidR="00B04316" w:rsidRDefault="00B04316" w:rsidP="00EF4484">
            <w:pPr>
              <w:spacing w:before="120" w:line="360" w:lineRule="auto"/>
              <w:jc w:val="left"/>
              <w:rPr>
                <w:sz w:val="24"/>
                <w:szCs w:val="24"/>
              </w:rPr>
            </w:pPr>
            <w:r w:rsidRPr="00B04316">
              <w:rPr>
                <w:sz w:val="24"/>
                <w:szCs w:val="24"/>
              </w:rPr>
              <w:t>Seniors as lifelong learners: barriers, strategies, outcomes.</w:t>
            </w:r>
          </w:p>
        </w:tc>
      </w:tr>
    </w:tbl>
    <w:p w:rsidR="00B04316" w:rsidRDefault="00B04316" w:rsidP="00D01505">
      <w:pPr>
        <w:jc w:val="left"/>
        <w:rPr>
          <w:sz w:val="24"/>
          <w:szCs w:val="24"/>
        </w:rPr>
      </w:pPr>
    </w:p>
    <w:p w:rsidR="00345888" w:rsidRDefault="00345888" w:rsidP="00D01505">
      <w:pPr>
        <w:jc w:val="left"/>
        <w:rPr>
          <w:sz w:val="24"/>
          <w:szCs w:val="24"/>
        </w:rPr>
      </w:pPr>
    </w:p>
    <w:p w:rsidR="00345888" w:rsidRDefault="00E0436D" w:rsidP="00D01505">
      <w:pPr>
        <w:jc w:val="left"/>
        <w:rPr>
          <w:sz w:val="24"/>
          <w:szCs w:val="24"/>
        </w:rPr>
      </w:pPr>
      <w:r>
        <w:rPr>
          <w:sz w:val="24"/>
          <w:szCs w:val="24"/>
        </w:rPr>
        <w:t>Inclusion is central to the work of learning cities so that PASCAL</w:t>
      </w:r>
      <w:r w:rsidR="00B12DEB">
        <w:rPr>
          <w:sz w:val="24"/>
          <w:szCs w:val="24"/>
        </w:rPr>
        <w:t xml:space="preserve"> </w:t>
      </w:r>
      <w:r w:rsidR="00B12DEB" w:rsidRPr="00EF4484">
        <w:rPr>
          <w:sz w:val="24"/>
          <w:szCs w:val="24"/>
        </w:rPr>
        <w:t>Learning Cities Networks</w:t>
      </w:r>
      <w:r>
        <w:rPr>
          <w:sz w:val="24"/>
          <w:szCs w:val="24"/>
        </w:rPr>
        <w:t xml:space="preserve"> welcomes advi</w:t>
      </w:r>
      <w:r w:rsidR="00B21C6A">
        <w:rPr>
          <w:sz w:val="24"/>
          <w:szCs w:val="24"/>
        </w:rPr>
        <w:t xml:space="preserve">ce from other cities that would like to participate in this program and conduct a PASCAL </w:t>
      </w:r>
      <w:r w:rsidR="00B12DEB" w:rsidRPr="00B12DEB">
        <w:rPr>
          <w:sz w:val="24"/>
          <w:szCs w:val="24"/>
        </w:rPr>
        <w:t xml:space="preserve">Learning Cities Networks </w:t>
      </w:r>
      <w:r w:rsidR="00B21C6A">
        <w:rPr>
          <w:sz w:val="24"/>
          <w:szCs w:val="24"/>
        </w:rPr>
        <w:t>Inclusion Workshop. While there is a good range of aspects covered in the topics listed above, inclusion is a complex subject and there are further aspe</w:t>
      </w:r>
      <w:r w:rsidR="00B12DEB">
        <w:rPr>
          <w:sz w:val="24"/>
          <w:szCs w:val="24"/>
        </w:rPr>
        <w:t xml:space="preserve">cts that require discussion in </w:t>
      </w:r>
      <w:r w:rsidR="00B21C6A">
        <w:rPr>
          <w:sz w:val="24"/>
          <w:szCs w:val="24"/>
        </w:rPr>
        <w:t>developing a comprehensive approach to improving the inclusion work of learning cities.</w:t>
      </w:r>
    </w:p>
    <w:p w:rsidR="00B21C6A" w:rsidRDefault="00B21C6A" w:rsidP="00D01505">
      <w:pPr>
        <w:jc w:val="left"/>
        <w:rPr>
          <w:sz w:val="24"/>
          <w:szCs w:val="24"/>
        </w:rPr>
      </w:pPr>
    </w:p>
    <w:p w:rsidR="00B12DEB" w:rsidRDefault="00B21C6A" w:rsidP="00D01505">
      <w:pPr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These subjects include young people as lifelong learners, provision for the long term unemployed, strategies for migrants and refugees, neighbourhood strategies to promote inclusion.  Workshops could be conducted any ti</w:t>
      </w:r>
      <w:r w:rsidR="006C09ED">
        <w:rPr>
          <w:sz w:val="24"/>
          <w:szCs w:val="24"/>
        </w:rPr>
        <w:t>me between October 2015 and Apri</w:t>
      </w:r>
      <w:r>
        <w:rPr>
          <w:sz w:val="24"/>
          <w:szCs w:val="24"/>
        </w:rPr>
        <w:t>l 2016 to enable the outcomes to be taken into account</w:t>
      </w:r>
      <w:r w:rsidR="006C09ED">
        <w:rPr>
          <w:sz w:val="24"/>
          <w:szCs w:val="24"/>
        </w:rPr>
        <w:t xml:space="preserve"> in the </w:t>
      </w:r>
      <w:r w:rsidR="00B12DEB">
        <w:rPr>
          <w:sz w:val="24"/>
          <w:szCs w:val="24"/>
        </w:rPr>
        <w:t>13th</w:t>
      </w:r>
      <w:r w:rsidR="006C09ED">
        <w:rPr>
          <w:sz w:val="24"/>
          <w:szCs w:val="24"/>
        </w:rPr>
        <w:t xml:space="preserve"> PASCAL International Conference at the University of Glasgow</w:t>
      </w:r>
      <w:r w:rsidR="00B12DEB">
        <w:rPr>
          <w:sz w:val="24"/>
          <w:szCs w:val="24"/>
        </w:rPr>
        <w:t xml:space="preserve"> (3-5 June, 2016)</w:t>
      </w:r>
      <w:r w:rsidR="006C09ED">
        <w:rPr>
          <w:sz w:val="24"/>
          <w:szCs w:val="24"/>
        </w:rPr>
        <w:t xml:space="preserve">. </w:t>
      </w:r>
    </w:p>
    <w:p w:rsidR="00B12DEB" w:rsidRDefault="00B12DEB" w:rsidP="00D01505">
      <w:pPr>
        <w:jc w:val="left"/>
        <w:rPr>
          <w:sz w:val="24"/>
          <w:szCs w:val="24"/>
        </w:rPr>
      </w:pPr>
    </w:p>
    <w:p w:rsidR="00B21C6A" w:rsidRPr="00345888" w:rsidRDefault="006C09ED" w:rsidP="00D01505">
      <w:pPr>
        <w:jc w:val="left"/>
        <w:rPr>
          <w:sz w:val="24"/>
          <w:szCs w:val="24"/>
        </w:rPr>
      </w:pPr>
      <w:r>
        <w:rPr>
          <w:sz w:val="24"/>
          <w:szCs w:val="24"/>
        </w:rPr>
        <w:t>If you are interested in organising a PASCAL</w:t>
      </w:r>
      <w:r w:rsidR="00B12DEB" w:rsidRPr="00B12DEB">
        <w:t xml:space="preserve"> </w:t>
      </w:r>
      <w:r w:rsidR="00B12DEB" w:rsidRPr="00B12DEB">
        <w:rPr>
          <w:sz w:val="24"/>
          <w:szCs w:val="24"/>
        </w:rPr>
        <w:t>Learning Cities Networks</w:t>
      </w:r>
      <w:r>
        <w:rPr>
          <w:sz w:val="24"/>
          <w:szCs w:val="24"/>
        </w:rPr>
        <w:t xml:space="preserve"> Inclusion Workshop, please contact me (</w:t>
      </w:r>
      <w:hyperlink r:id="rId7" w:history="1">
        <w:r w:rsidRPr="00C77365">
          <w:rPr>
            <w:rStyle w:val="Hyperlink"/>
            <w:sz w:val="24"/>
            <w:szCs w:val="24"/>
          </w:rPr>
          <w:t>p.kearns@netspeed.com.au</w:t>
        </w:r>
      </w:hyperlink>
      <w:r>
        <w:rPr>
          <w:sz w:val="24"/>
          <w:szCs w:val="24"/>
        </w:rPr>
        <w:t>) to discuss your proposal.</w:t>
      </w:r>
    </w:p>
    <w:sectPr w:rsidR="00B21C6A" w:rsidRPr="00345888" w:rsidSect="005435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22B91"/>
    <w:multiLevelType w:val="hybridMultilevel"/>
    <w:tmpl w:val="3BFC9A0E"/>
    <w:lvl w:ilvl="0" w:tplc="0809000F">
      <w:start w:val="1"/>
      <w:numFmt w:val="decimal"/>
      <w:lvlText w:val="%1."/>
      <w:lvlJc w:val="left"/>
      <w:pPr>
        <w:ind w:left="3414" w:hanging="360"/>
      </w:pPr>
    </w:lvl>
    <w:lvl w:ilvl="1" w:tplc="08090019" w:tentative="1">
      <w:start w:val="1"/>
      <w:numFmt w:val="lowerLetter"/>
      <w:lvlText w:val="%2."/>
      <w:lvlJc w:val="left"/>
      <w:pPr>
        <w:ind w:left="4134" w:hanging="360"/>
      </w:pPr>
    </w:lvl>
    <w:lvl w:ilvl="2" w:tplc="0809001B" w:tentative="1">
      <w:start w:val="1"/>
      <w:numFmt w:val="lowerRoman"/>
      <w:lvlText w:val="%3."/>
      <w:lvlJc w:val="right"/>
      <w:pPr>
        <w:ind w:left="4854" w:hanging="180"/>
      </w:pPr>
    </w:lvl>
    <w:lvl w:ilvl="3" w:tplc="0809000F" w:tentative="1">
      <w:start w:val="1"/>
      <w:numFmt w:val="decimal"/>
      <w:lvlText w:val="%4."/>
      <w:lvlJc w:val="left"/>
      <w:pPr>
        <w:ind w:left="5574" w:hanging="360"/>
      </w:pPr>
    </w:lvl>
    <w:lvl w:ilvl="4" w:tplc="08090019" w:tentative="1">
      <w:start w:val="1"/>
      <w:numFmt w:val="lowerLetter"/>
      <w:lvlText w:val="%5."/>
      <w:lvlJc w:val="left"/>
      <w:pPr>
        <w:ind w:left="6294" w:hanging="360"/>
      </w:pPr>
    </w:lvl>
    <w:lvl w:ilvl="5" w:tplc="0809001B" w:tentative="1">
      <w:start w:val="1"/>
      <w:numFmt w:val="lowerRoman"/>
      <w:lvlText w:val="%6."/>
      <w:lvlJc w:val="right"/>
      <w:pPr>
        <w:ind w:left="7014" w:hanging="180"/>
      </w:pPr>
    </w:lvl>
    <w:lvl w:ilvl="6" w:tplc="0809000F" w:tentative="1">
      <w:start w:val="1"/>
      <w:numFmt w:val="decimal"/>
      <w:lvlText w:val="%7."/>
      <w:lvlJc w:val="left"/>
      <w:pPr>
        <w:ind w:left="7734" w:hanging="360"/>
      </w:pPr>
    </w:lvl>
    <w:lvl w:ilvl="7" w:tplc="08090019" w:tentative="1">
      <w:start w:val="1"/>
      <w:numFmt w:val="lowerLetter"/>
      <w:lvlText w:val="%8."/>
      <w:lvlJc w:val="left"/>
      <w:pPr>
        <w:ind w:left="8454" w:hanging="360"/>
      </w:pPr>
    </w:lvl>
    <w:lvl w:ilvl="8" w:tplc="08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">
    <w:nsid w:val="18D30F19"/>
    <w:multiLevelType w:val="hybridMultilevel"/>
    <w:tmpl w:val="1A8A70DE"/>
    <w:lvl w:ilvl="0" w:tplc="0DEA4AB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1A432571"/>
    <w:multiLevelType w:val="hybridMultilevel"/>
    <w:tmpl w:val="73A04B28"/>
    <w:lvl w:ilvl="0" w:tplc="67AA6D9C">
      <w:start w:val="3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0461F7"/>
    <w:multiLevelType w:val="hybridMultilevel"/>
    <w:tmpl w:val="1B40E634"/>
    <w:lvl w:ilvl="0" w:tplc="0DEA4A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A5A4F"/>
    <w:multiLevelType w:val="hybridMultilevel"/>
    <w:tmpl w:val="C1CC68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505"/>
    <w:rsid w:val="000951B2"/>
    <w:rsid w:val="000E1529"/>
    <w:rsid w:val="002B0D46"/>
    <w:rsid w:val="00345888"/>
    <w:rsid w:val="00404C27"/>
    <w:rsid w:val="0054350E"/>
    <w:rsid w:val="005A76F9"/>
    <w:rsid w:val="0068775C"/>
    <w:rsid w:val="006C09ED"/>
    <w:rsid w:val="00AE085E"/>
    <w:rsid w:val="00B04316"/>
    <w:rsid w:val="00B12DEB"/>
    <w:rsid w:val="00B21C6A"/>
    <w:rsid w:val="00B90D2C"/>
    <w:rsid w:val="00D01505"/>
    <w:rsid w:val="00E0436D"/>
    <w:rsid w:val="00EF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5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6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09E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9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9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431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5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6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09E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9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9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431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8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.kearns@netspeed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cn.pascalobservatory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Stephen</cp:lastModifiedBy>
  <cp:revision>5</cp:revision>
  <cp:lastPrinted>2015-08-17T06:46:00Z</cp:lastPrinted>
  <dcterms:created xsi:type="dcterms:W3CDTF">2015-08-17T08:41:00Z</dcterms:created>
  <dcterms:modified xsi:type="dcterms:W3CDTF">2015-08-17T09:00:00Z</dcterms:modified>
</cp:coreProperties>
</file>